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86DFF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5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512"/>
        <w:gridCol w:w="888"/>
        <w:gridCol w:w="1323"/>
        <w:gridCol w:w="1006"/>
        <w:gridCol w:w="872"/>
        <w:gridCol w:w="947"/>
        <w:gridCol w:w="621"/>
        <w:gridCol w:w="1122"/>
        <w:gridCol w:w="1533"/>
      </w:tblGrid>
      <w:tr w14:paraId="680FF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1B005B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7A4670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9" w:type="dxa"/>
            <w:gridSpan w:val="4"/>
            <w:tcBorders>
              <w:tl2br w:val="nil"/>
              <w:tr2bl w:val="nil"/>
            </w:tcBorders>
            <w:vAlign w:val="center"/>
          </w:tcPr>
          <w:p w14:paraId="4AF48CD9"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从“一微克”到“0.1微克”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87C858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37997DE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6" w:type="dxa"/>
            <w:gridSpan w:val="3"/>
            <w:tcBorders>
              <w:tl2br w:val="nil"/>
              <w:tr2bl w:val="nil"/>
            </w:tcBorders>
            <w:vAlign w:val="center"/>
          </w:tcPr>
          <w:p w14:paraId="55AEDD65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通讯</w:t>
            </w:r>
          </w:p>
        </w:tc>
      </w:tr>
      <w:tr w14:paraId="225F7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14:paraId="1EAC86A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6188B68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9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A712722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2154字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68489C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6" w:type="dxa"/>
            <w:gridSpan w:val="3"/>
            <w:tcBorders>
              <w:tl2br w:val="nil"/>
              <w:tr2bl w:val="nil"/>
            </w:tcBorders>
            <w:vAlign w:val="center"/>
          </w:tcPr>
          <w:p w14:paraId="22DC7EAA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 w14:paraId="01533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1" w:type="dxa"/>
            <w:vMerge w:val="continue"/>
            <w:tcBorders>
              <w:tl2br w:val="nil"/>
              <w:tr2bl w:val="nil"/>
            </w:tcBorders>
            <w:vAlign w:val="center"/>
          </w:tcPr>
          <w:p w14:paraId="4DD49B0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9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6001A420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FA00F38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6" w:type="dxa"/>
            <w:gridSpan w:val="3"/>
            <w:tcBorders>
              <w:tl2br w:val="nil"/>
              <w:tr2bl w:val="nil"/>
            </w:tcBorders>
            <w:vAlign w:val="center"/>
          </w:tcPr>
          <w:p w14:paraId="13E7E8C5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 w14:paraId="32893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21F7EA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3C2E11E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9" w:type="dxa"/>
            <w:gridSpan w:val="4"/>
            <w:tcBorders>
              <w:tl2br w:val="nil"/>
              <w:tr2bl w:val="nil"/>
            </w:tcBorders>
            <w:vAlign w:val="center"/>
          </w:tcPr>
          <w:p w14:paraId="6046F94C">
            <w:pPr>
              <w:spacing w:line="240" w:lineRule="exac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骆倩雯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D9C83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6" w:type="dxa"/>
            <w:gridSpan w:val="3"/>
            <w:tcBorders>
              <w:tl2br w:val="nil"/>
              <w:tr2bl w:val="nil"/>
            </w:tcBorders>
            <w:vAlign w:val="center"/>
          </w:tcPr>
          <w:p w14:paraId="1ACA3572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集体(赵中鹏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侯莎莎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刘桥斌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石滢琪)</w:t>
            </w:r>
          </w:p>
        </w:tc>
      </w:tr>
      <w:tr w14:paraId="1B6A6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253FD7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5E9DA63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9" w:type="dxa"/>
            <w:gridSpan w:val="4"/>
            <w:tcBorders>
              <w:tl2br w:val="nil"/>
              <w:tr2bl w:val="nil"/>
            </w:tcBorders>
            <w:vAlign w:val="center"/>
          </w:tcPr>
          <w:p w14:paraId="00B78250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</w:rPr>
              <w:t>北京日报社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7905793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20FF1224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6" w:type="dxa"/>
            <w:gridSpan w:val="3"/>
            <w:tcBorders>
              <w:tl2br w:val="nil"/>
              <w:tr2bl w:val="nil"/>
            </w:tcBorders>
            <w:vAlign w:val="center"/>
          </w:tcPr>
          <w:p w14:paraId="65833076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北京日报</w:t>
            </w:r>
          </w:p>
        </w:tc>
      </w:tr>
      <w:tr w14:paraId="5E1A2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</w:trPr>
        <w:tc>
          <w:tcPr>
            <w:tcW w:w="1503" w:type="dxa"/>
            <w:gridSpan w:val="2"/>
            <w:tcBorders>
              <w:tl2br w:val="nil"/>
              <w:tr2bl w:val="nil"/>
            </w:tcBorders>
            <w:vAlign w:val="center"/>
          </w:tcPr>
          <w:p w14:paraId="7B5DA18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10C363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7" w:type="dxa"/>
            <w:gridSpan w:val="3"/>
            <w:tcBorders>
              <w:tl2br w:val="nil"/>
              <w:tr2bl w:val="nil"/>
            </w:tcBorders>
            <w:vAlign w:val="center"/>
          </w:tcPr>
          <w:p w14:paraId="2B4943F3">
            <w:pPr>
              <w:spacing w:line="260" w:lineRule="exact"/>
              <w:rPr>
                <w:rFonts w:hint="eastAsia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  <w:lang w:val="en-US" w:eastAsia="zh-CN"/>
              </w:rPr>
              <w:t>一版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3791BCC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3" w:type="dxa"/>
            <w:gridSpan w:val="4"/>
            <w:tcBorders>
              <w:tl2br w:val="nil"/>
              <w:tr2bl w:val="nil"/>
            </w:tcBorders>
            <w:vAlign w:val="center"/>
          </w:tcPr>
          <w:p w14:paraId="274FF81C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2025年2月25日</w:t>
            </w:r>
          </w:p>
        </w:tc>
      </w:tr>
      <w:tr w14:paraId="5BCC5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503" w:type="dxa"/>
            <w:gridSpan w:val="2"/>
            <w:tcBorders>
              <w:tl2br w:val="nil"/>
              <w:tr2bl w:val="nil"/>
            </w:tcBorders>
            <w:vAlign w:val="center"/>
          </w:tcPr>
          <w:p w14:paraId="3D690D0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148F9FE8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6" w:type="dxa"/>
            <w:gridSpan w:val="5"/>
            <w:tcBorders>
              <w:tl2br w:val="nil"/>
              <w:tr2bl w:val="nil"/>
            </w:tcBorders>
            <w:vAlign w:val="center"/>
          </w:tcPr>
          <w:p w14:paraId="5C277842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3" w:type="dxa"/>
            <w:gridSpan w:val="2"/>
            <w:tcBorders>
              <w:tl2br w:val="nil"/>
              <w:tr2bl w:val="nil"/>
            </w:tcBorders>
            <w:vAlign w:val="center"/>
          </w:tcPr>
          <w:p w14:paraId="10C5F2C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56BA39E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vAlign w:val="center"/>
          </w:tcPr>
          <w:p w14:paraId="7C7DBA07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 w14:paraId="3E0C5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EA2D57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374472D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750C9B4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E29421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4" w:type="dxa"/>
            <w:gridSpan w:val="9"/>
            <w:tcBorders>
              <w:tl2br w:val="nil"/>
              <w:tr2bl w:val="nil"/>
            </w:tcBorders>
            <w:vAlign w:val="center"/>
          </w:tcPr>
          <w:p w14:paraId="0122A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从重点整治到系统治理，北京为超大城市大气治理提供了范本。守护蓝天、向绿而行，北京十余年大气治理历程，是以习近平生态文明思想为指导，探索超大城市绿色发展道路的生动实践。</w:t>
            </w:r>
          </w:p>
          <w:p w14:paraId="74A1C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大气治理进入持久战阶段，如何让蓝天常在、空气常新？文章以2025年北京市市政府工作报告提出的“0.1 微克”行动为新闻由头，提炼出生动直观的主题《从“一微克”到“0.1微克”》，权威解读北京大气污染治理进入超低浓度阶段的深刻变革。文章通过专访生态环境部门负责人与监测专家，回溯北京的大气污染治理历程，点明治理重点由工业、燃煤等工程类减排为主的污染源转向移动源、扬尘、生活源等精细领域，展现首都以极致精准、极致科学、极致协同推进污染防治的坚定实践，生动诠释首都生态文明建设从“攻坚达标”向“提质创优”跨越的时代新变，回应了公众对北京蓝天常驻的期待，彰显了首都城市治理体系和治理能力现代化水平。</w:t>
            </w:r>
          </w:p>
        </w:tc>
      </w:tr>
      <w:tr w14:paraId="6E938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exact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14:paraId="6A75C5F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17AC72D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7DE0C45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4CCF15A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23ABD668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68CA569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4" w:type="dxa"/>
            <w:gridSpan w:val="7"/>
            <w:tcBorders>
              <w:tl2br w:val="nil"/>
              <w:tr2bl w:val="nil"/>
            </w:tcBorders>
            <w:vAlign w:val="center"/>
          </w:tcPr>
          <w:p w14:paraId="0F041021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北京日报微博发布与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一微克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相关的治理成效预热讨论话题http://s.weibo.com/weibo?q=%23%E4%B8%80%E5%BE%AE%E5%85%8B%E4%B8%80%E5%BE%AE%E5%85%8B%E6%8A%A0%E5%87%BA%E5%8C%97%E4%BA%AC%E8%93%9D%23</w:t>
            </w:r>
          </w:p>
        </w:tc>
      </w:tr>
      <w:tr w14:paraId="2E403F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</w:trPr>
        <w:tc>
          <w:tcPr>
            <w:tcW w:w="991" w:type="dxa"/>
            <w:vMerge w:val="continue"/>
            <w:tcBorders>
              <w:tl2br w:val="nil"/>
              <w:tr2bl w:val="nil"/>
            </w:tcBorders>
            <w:vAlign w:val="center"/>
          </w:tcPr>
          <w:p w14:paraId="0FD8FF6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59D3DC4A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362F5AC6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E9528D9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约280万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vAlign w:val="center"/>
          </w:tcPr>
          <w:p w14:paraId="475831C0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64557EF0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40" w:type="dxa"/>
            <w:gridSpan w:val="3"/>
            <w:tcBorders>
              <w:tl2br w:val="nil"/>
              <w:tr2bl w:val="nil"/>
            </w:tcBorders>
            <w:vAlign w:val="center"/>
          </w:tcPr>
          <w:p w14:paraId="0B6A7698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591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60D4E50E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vAlign w:val="center"/>
          </w:tcPr>
          <w:p w14:paraId="743892C9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约300</w:t>
            </w:r>
          </w:p>
        </w:tc>
      </w:tr>
      <w:tr w14:paraId="08FC7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5" w:hRule="exac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603C721E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C0FB6DE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B0FE0E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3D0CD0D7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092083A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6E7D9EA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4" w:type="dxa"/>
            <w:gridSpan w:val="9"/>
            <w:tcBorders>
              <w:tl2br w:val="nil"/>
              <w:tr2bl w:val="nil"/>
            </w:tcBorders>
            <w:vAlign w:val="center"/>
          </w:tcPr>
          <w:p w14:paraId="6066A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作品紧扣2025年首都生态文明建设重大部署，主题鲜明、视角独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特</w:t>
            </w:r>
            <w:r>
              <w:rPr>
                <w:rFonts w:hint="eastAsia"/>
                <w:sz w:val="22"/>
                <w:szCs w:val="22"/>
              </w:rPr>
              <w:t>、权威厚重，是反映新时代生态治理成就的典型题材。</w:t>
            </w:r>
            <w:bookmarkStart w:id="0" w:name="_GoBack"/>
            <w:bookmarkEnd w:id="0"/>
            <w:r>
              <w:rPr>
                <w:rFonts w:hint="eastAsia"/>
                <w:sz w:val="22"/>
                <w:szCs w:val="22"/>
              </w:rPr>
              <w:t>报道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从“一微克”到</w:t>
            </w:r>
            <w:r>
              <w:rPr>
                <w:rFonts w:hint="eastAsia"/>
                <w:sz w:val="22"/>
                <w:szCs w:val="22"/>
              </w:rPr>
              <w:t>“0.1 微克”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的</w:t>
            </w:r>
            <w:r>
              <w:rPr>
                <w:rFonts w:hint="eastAsia"/>
                <w:sz w:val="22"/>
                <w:szCs w:val="22"/>
              </w:rPr>
              <w:t>标志性转变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精准切入</w:t>
            </w:r>
            <w:r>
              <w:rPr>
                <w:rFonts w:hint="eastAsia"/>
                <w:sz w:val="22"/>
                <w:szCs w:val="22"/>
              </w:rPr>
              <w:t>，以小见大折射首都大气治理科学化、精细化、常态化的治理体系变革；采访扎实、信源权威，数据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翔</w:t>
            </w:r>
            <w:r>
              <w:rPr>
                <w:rFonts w:hint="eastAsia"/>
                <w:sz w:val="22"/>
                <w:szCs w:val="22"/>
              </w:rPr>
              <w:t>实、逻辑清晰，兼具高度、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深</w:t>
            </w:r>
            <w:r>
              <w:rPr>
                <w:rFonts w:hint="eastAsia"/>
                <w:sz w:val="22"/>
                <w:szCs w:val="22"/>
              </w:rPr>
              <w:t>度与温度</w:t>
            </w:r>
            <w:r>
              <w:rPr>
                <w:rFonts w:hint="eastAsia"/>
                <w:sz w:val="22"/>
                <w:szCs w:val="22"/>
                <w:lang w:eastAsia="zh-CN"/>
              </w:rPr>
              <w:t>；</w:t>
            </w:r>
            <w:r>
              <w:rPr>
                <w:rFonts w:hint="eastAsia"/>
                <w:sz w:val="22"/>
                <w:szCs w:val="22"/>
              </w:rPr>
              <w:t>将专业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术语</w:t>
            </w:r>
            <w:r>
              <w:rPr>
                <w:rFonts w:hint="eastAsia"/>
                <w:sz w:val="22"/>
                <w:szCs w:val="22"/>
              </w:rPr>
              <w:t>转化为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浅显</w:t>
            </w:r>
            <w:r>
              <w:rPr>
                <w:rFonts w:hint="eastAsia"/>
                <w:sz w:val="22"/>
                <w:szCs w:val="22"/>
              </w:rPr>
              <w:t>易懂的新闻表达，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回应了公众关切，说服</w:t>
            </w:r>
            <w:r>
              <w:rPr>
                <w:rFonts w:hint="eastAsia"/>
                <w:sz w:val="22"/>
                <w:szCs w:val="22"/>
              </w:rPr>
              <w:t>力强。作品充分体现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了</w:t>
            </w:r>
            <w:r>
              <w:rPr>
                <w:rFonts w:hint="eastAsia"/>
                <w:sz w:val="22"/>
                <w:szCs w:val="22"/>
              </w:rPr>
              <w:t>主流媒体围绕中心、服务大局的责任担当，具有较高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的</w:t>
            </w:r>
            <w:r>
              <w:rPr>
                <w:rFonts w:hint="eastAsia"/>
                <w:sz w:val="22"/>
                <w:szCs w:val="22"/>
              </w:rPr>
              <w:t xml:space="preserve">新闻价值。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               </w:t>
            </w:r>
          </w:p>
          <w:p w14:paraId="4FC6751D">
            <w:pPr>
              <w:spacing w:line="240" w:lineRule="auto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签名（盖单位公章）：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eastAsia="zh-CN"/>
              </w:rPr>
              <w:drawing>
                <wp:inline distT="0" distB="0" distL="114300" distR="114300">
                  <wp:extent cx="1304925" cy="504825"/>
                  <wp:effectExtent l="0" t="0" r="9525" b="9525"/>
                  <wp:docPr id="1" name="图片 1" descr="郝主席人名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郝主席人名章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413958">
            <w:pP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/>
              </w:rPr>
              <w:t>2026</w:t>
            </w:r>
            <w:r>
              <w:rPr>
                <w:rFonts w:ascii="仿宋" w:hAnsi="仿宋" w:eastAsia="仿宋" w:cs="仿宋"/>
                <w:color w:val="000000"/>
                <w:kern w:val="0"/>
                <w:sz w:val="30"/>
                <w:szCs w:val="30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日</w:t>
            </w:r>
          </w:p>
        </w:tc>
      </w:tr>
    </w:tbl>
    <w:p w14:paraId="2BDC918F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方正仿宋_GBK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79E81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54F7D33"/>
    <w:rsid w:val="090E6F0B"/>
    <w:rsid w:val="0A137947"/>
    <w:rsid w:val="5505699F"/>
    <w:rsid w:val="75B6F598"/>
    <w:rsid w:val="7B0941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2312" w:cs="黑体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6"/>
    <w:link w:val="3"/>
    <w:qFormat/>
    <w:uiPriority w:val="0"/>
    <w:rPr>
      <w:rFonts w:ascii="Calibri" w:hAnsi="Calibri" w:eastAsia="方正仿宋_GB2312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2</Pages>
  <Words>818</Words>
  <Characters>976</Characters>
  <Lines>7</Lines>
  <Paragraphs>1</Paragraphs>
  <TotalTime>11</TotalTime>
  <ScaleCrop>false</ScaleCrop>
  <LinksUpToDate>false</LinksUpToDate>
  <CharactersWithSpaces>1097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2026-04-09T06:18:00Z</dcterms:created>
  <dc:creator>EDY</dc:creator>
  <cp:lastModifiedBy>pc</cp:lastModifiedBy>
  <cp:lastPrinted>2026-05-07T17:50:00Z</cp:lastPrinted>
  <dcterms:modified xsi:type="dcterms:W3CDTF">2026-05-21T07:06:33Z</dcterms:modified>
  <dc:title>中国新闻奖参评作品推荐表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eyJoZGlkIjoiZmVmODVmNzA2N2VjMjlmNGUzZDI2NzNmM2IwMDQzY2MiLCJ1c2VySWQiOiI0OTE4ODM0NDAifQ==</vt:lpwstr>
  </property>
  <property fmtid="{D5CDD505-2E9C-101B-9397-08002B2CF9AE}" pid="4" name="ICV">
    <vt:lpwstr>D1E8F804244740EF9C47E280E765C5A0_12</vt:lpwstr>
  </property>
</Properties>
</file>